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000000" w:space="1" w:sz="4" w:val="single"/>
        </w:pBdr>
        <w:jc w:val="right"/>
        <w:rPr>
          <w:rFonts w:ascii="Times New Roman" w:cs="Times New Roman" w:eastAsia="Times New Roman" w:hAnsi="Times New Roman"/>
          <w:b w:val="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Образец на изисквания към офертите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1" w:sz="4" w:val="single"/>
        </w:pBdr>
        <w:jc w:val="center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  </w:t>
        <w:tab/>
        <w:tab/>
        <w:tab/>
        <w:tab/>
        <w:tab/>
        <w:tab/>
        <w:t xml:space="preserve">от ПМС №118/20.05.2014 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7845"/>
        </w:tabs>
        <w:jc w:val="center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7845"/>
        </w:tabs>
        <w:jc w:val="center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7845"/>
        </w:tabs>
        <w:jc w:val="center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ИЗИСКВАНИЯ КЪМ ОФЕРТИТЕ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7845"/>
        </w:tabs>
        <w:jc w:val="center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firstLine="708"/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При изготвяне на офертата всеки кандидат трябва да се придържа точно към обявените от бенефициента условия.</w:t>
      </w:r>
    </w:p>
    <w:p w:rsidR="00000000" w:rsidDel="00000000" w:rsidP="00000000" w:rsidRDefault="00000000" w:rsidRPr="00000000" w14:paraId="00000009">
      <w:pPr>
        <w:ind w:firstLine="640"/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Кандидатът в процедурата има право да представи само една оферта.</w:t>
      </w:r>
    </w:p>
    <w:p w:rsidR="00000000" w:rsidDel="00000000" w:rsidP="00000000" w:rsidRDefault="00000000" w:rsidRPr="00000000" w14:paraId="0000000A">
      <w:pPr>
        <w:ind w:firstLine="640"/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Офертата следва  да е изготвена съобразно образеца от документацията и да съдържа техническо и финансово предложение. Към офертата следва да са приложени всички изискуеми от бенефициента документи, посочени в поканата. Изискуемите документи следва да бъдат представени в оригинал/нотариално заверено копие, съответно заверени от кандидата копия с думите: „Вярно с оригинала”, подпис и печат съобразно изискванията на бенефициента към конкретните документи.</w:t>
      </w:r>
    </w:p>
    <w:p w:rsidR="00000000" w:rsidDel="00000000" w:rsidP="00000000" w:rsidRDefault="00000000" w:rsidRPr="00000000" w14:paraId="0000000B">
      <w:pPr>
        <w:ind w:firstLine="640"/>
        <w:jc w:val="both"/>
        <w:rPr>
          <w:rFonts w:ascii="Times New Roman" w:cs="Times New Roman" w:eastAsia="Times New Roman" w:hAnsi="Times New Roman"/>
          <w:u w:val="singl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Офертите за участие в процедурата се изготвят на български език. </w:t>
      </w: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Документите, представени на чужд език, следва да бъдат придружени с превод на български език.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firstLine="640"/>
        <w:jc w:val="both"/>
        <w:rPr>
          <w:rFonts w:ascii="Times New Roman" w:cs="Times New Roman" w:eastAsia="Times New Roman" w:hAnsi="Times New Roman"/>
          <w:color w:val="00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Следва да се има предвид, че срокът на валидност на офертите е времето, през което кандидатите са обвързани с условията на представените от тях оферти.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Лице, което е дало съгласие и фигурира като подизпълнител в офертата на друг кандидат, не може да представи самостоятелна оферта.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Кандидатите могат да допълват своите оферти в рамките на определения срок за подаване на оферти.</w:t>
      </w:r>
    </w:p>
    <w:p w:rsidR="00000000" w:rsidDel="00000000" w:rsidP="00000000" w:rsidRDefault="00000000" w:rsidRPr="00000000" w14:paraId="0000000F">
      <w:pPr>
        <w:ind w:firstLine="640"/>
        <w:jc w:val="both"/>
        <w:rPr>
          <w:rFonts w:ascii="Times New Roman" w:cs="Times New Roman" w:eastAsia="Times New Roman" w:hAnsi="Times New Roman"/>
          <w:color w:val="00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Офертата се представя в запечатан непрозрачен плик от кандидата лично или от упълномощен от него представител, или по пощата с препоръчано писмо с обратна разписка. Върху плика кандидатът посочва:</w:t>
      </w:r>
    </w:p>
    <w:p w:rsidR="00000000" w:rsidDel="00000000" w:rsidP="00000000" w:rsidRDefault="00000000" w:rsidRPr="00000000" w14:paraId="00000010">
      <w:pPr>
        <w:ind w:firstLine="720"/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1. </w:t>
      </w: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име и адрес на бенефициента;</w:t>
      </w:r>
    </w:p>
    <w:p w:rsidR="00000000" w:rsidDel="00000000" w:rsidP="00000000" w:rsidRDefault="00000000" w:rsidRPr="00000000" w14:paraId="00000011">
      <w:pPr>
        <w:ind w:firstLine="720"/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2. име, адрес за кореспонденция, телефон и по възможност - факс и електронен адрес на кандидата;</w:t>
      </w:r>
    </w:p>
    <w:p w:rsidR="00000000" w:rsidDel="00000000" w:rsidP="00000000" w:rsidRDefault="00000000" w:rsidRPr="00000000" w14:paraId="00000012">
      <w:pPr>
        <w:ind w:firstLine="720"/>
        <w:jc w:val="both"/>
        <w:rPr>
          <w:rFonts w:ascii="Times New Roman" w:cs="Times New Roman" w:eastAsia="Times New Roman" w:hAnsi="Times New Roman"/>
          <w:b w:val="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3. наименование на обекта на процедурата;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firstLine="720"/>
        <w:jc w:val="both"/>
        <w:rPr>
          <w:rFonts w:ascii="Times New Roman" w:cs="Times New Roman" w:eastAsia="Times New Roman" w:hAnsi="Times New Roman"/>
          <w:color w:val="00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4. следното предписание: „Да не се отваря преди разглеждане от комисията за оценяване и класиране”.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приемане на офертата върху плика се отбелязват поредният номер, датата и часът на получаване и посочените данни се записват във входящ регистър, за което на приносителя се издава документ.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Оферти, които са представени след изтичане на крайния срок за получаване или в незапечатан или скъсан плик, не се приемат от бенефициента и не се разглеждат.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Други изисквания към офертите (посочени от бенефициента, предвид спецификата на конкретния обект на процедурата): НЕПРИЛОЖИМО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7" w:orient="portrait"/>
      <w:pgMar w:bottom="899" w:top="540" w:left="1134" w:right="1134" w:header="301" w:footer="58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alibri"/>
  <w:font w:name="HebarU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spacing w:before="5" w:line="244" w:lineRule="auto"/>
      <w:ind w:left="26" w:right="25" w:firstLine="0"/>
      <w:jc w:val="center"/>
      <w:rPr>
        <w:rFonts w:ascii="Times New Roman" w:cs="Times New Roman" w:eastAsia="Times New Roman" w:hAnsi="Times New Roman"/>
        <w:i w:val="0"/>
        <w:sz w:val="19"/>
        <w:szCs w:val="19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vertAlign w:val="baseline"/>
        <w:rtl w:val="0"/>
      </w:rPr>
      <w:t xml:space="preserve">Договор №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2023/372968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vertAlign w:val="baseline"/>
        <w:rtl w:val="0"/>
      </w:rPr>
      <w:t xml:space="preserve"> се реализира с финансовата подкрепа на Норвежкия финансов механизъм 2014-2021,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spacing w:before="5" w:line="244" w:lineRule="auto"/>
      <w:ind w:left="26" w:right="25" w:firstLine="0"/>
      <w:jc w:val="center"/>
      <w:rPr>
        <w:rFonts w:ascii="Times New Roman" w:cs="Times New Roman" w:eastAsia="Times New Roman" w:hAnsi="Times New Roman"/>
        <w:i w:val="0"/>
        <w:sz w:val="19"/>
        <w:szCs w:val="19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vertAlign w:val="baseline"/>
        <w:rtl w:val="0"/>
      </w:rPr>
      <w:t xml:space="preserve">в рамките на програма “Развитие на бизнеса, иновации и МСП в България”.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spacing w:before="5" w:line="244" w:lineRule="auto"/>
      <w:ind w:left="26" w:right="25" w:firstLine="0"/>
      <w:jc w:val="center"/>
      <w:rPr>
        <w:rFonts w:ascii="Times New Roman" w:cs="Times New Roman" w:eastAsia="Times New Roman" w:hAnsi="Times New Roman"/>
        <w:i w:val="0"/>
        <w:sz w:val="19"/>
        <w:szCs w:val="19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vertAlign w:val="baseline"/>
        <w:rtl w:val="0"/>
      </w:rPr>
      <w:t xml:space="preserve">Contract №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2023/372968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vertAlign w:val="baseline"/>
        <w:rtl w:val="0"/>
      </w:rPr>
      <w:t xml:space="preserve"> is s</w:t>
    </w:r>
    <w:r w:rsidDel="00000000" w:rsidR="00000000" w:rsidRPr="00000000">
      <w:rPr>
        <w:rFonts w:ascii="Times New Roman" w:cs="Times New Roman" w:eastAsia="Times New Roman" w:hAnsi="Times New Roman"/>
        <w:i w:val="1"/>
        <w:color w:val="000000"/>
        <w:sz w:val="19"/>
        <w:szCs w:val="19"/>
        <w:vertAlign w:val="baseline"/>
        <w:rtl w:val="0"/>
      </w:rPr>
      <w:t xml:space="preserve">upported by the Norway Grants 2014-2021, in the frame of the Business Program Bulgaria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right"/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360" w:firstLine="0"/>
      <w:jc w:val="left"/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right"/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360" w:firstLine="0"/>
      <w:jc w:val="left"/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center"/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pBdr>
        <w:bottom w:color="000000" w:space="1" w:sz="6" w:val="single"/>
      </w:pBdr>
      <w:tabs>
        <w:tab w:val="center" w:leader="none" w:pos="4536"/>
        <w:tab w:val="right" w:leader="none" w:pos="9072"/>
      </w:tabs>
      <w:rPr>
        <w:vertAlign w:val="baseline"/>
      </w:rPr>
    </w:pPr>
    <w:r w:rsidDel="00000000" w:rsidR="00000000" w:rsidRPr="00000000">
      <w:rPr>
        <w:vertAlign w:val="baseline"/>
      </w:rPr>
      <w:drawing>
        <wp:inline distB="0" distT="0" distL="114300" distR="114300">
          <wp:extent cx="1440180" cy="889635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40180" cy="88963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vertAlign w:val="baseline"/>
        <w:rtl w:val="0"/>
      </w:rPr>
      <w:t xml:space="preserve">   </w:t>
    </w:r>
    <w:r w:rsidDel="00000000" w:rsidR="00000000" w:rsidRPr="00000000">
      <w:rPr>
        <w:rFonts w:ascii="Calibri" w:cs="Calibri" w:eastAsia="Calibri" w:hAnsi="Calibri"/>
        <w:vertAlign w:val="baseline"/>
        <w:rtl w:val="0"/>
      </w:rPr>
      <w:tab/>
      <w:tab/>
    </w:r>
    <w:r w:rsidDel="00000000" w:rsidR="00000000" w:rsidRPr="00000000">
      <w:rPr>
        <w:vertAlign w:val="baseline"/>
      </w:rPr>
      <w:drawing>
        <wp:inline distB="0" distT="0" distL="114300" distR="114300">
          <wp:extent cx="1619885" cy="742315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19885" cy="74231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vertAlign w:val="baseline"/>
        <w:rtl w:val="0"/>
      </w:rPr>
      <w:t xml:space="preserve">                           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center"/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HebarU" w:cs="HebarU" w:eastAsia="HebarU" w:hAnsi="HebarU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HebarU" w:cs="HebarU" w:eastAsia="HebarU" w:hAnsi="HebarU"/>
        <w:sz w:val="24"/>
        <w:szCs w:val="24"/>
        <w:lang w:val="bg-BG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i w:val="1"/>
      <w:sz w:val="28"/>
      <w:szCs w:val="28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12" Type="http://schemas.openxmlformats.org/officeDocument/2006/relationships/footer" Target="footer3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xjUDsUi7deRP2juIm4JfinUS0A==">CgMxLjA4AHIhMVJvYm5ERzVPUnI2Ti1xVW1RTkFvdmVoT0tyNDhmYm45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